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24.04.2025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отношении: должностного лица – председателя дачного некоммерческого товарищества «НАДЕЖДА» Орехова Александра Александровича, </w:t>
      </w: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адрес руководителя: </w:t>
      </w:r>
      <w:r>
        <w:rPr>
          <w:rStyle w:val="cat-UserDefinedgrp-3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Таёжная, д. 23, </w:t>
      </w:r>
      <w:r>
        <w:rPr>
          <w:rStyle w:val="cat-PassportDatagrp-30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выдан УМВД России по ХМАО-Югре 30.03.2020 г.,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Орехов Александр Александрович, являясь председателем дачного некоммерческого товарищества «НАДЕЖДА»,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Таёжная, д. 23, до 24.00 часов 25 апреля 2024 года </w:t>
      </w:r>
      <w:r>
        <w:rPr>
          <w:rFonts w:ascii="Times New Roman" w:eastAsia="Times New Roman" w:hAnsi="Times New Roman" w:cs="Times New Roman"/>
        </w:rPr>
        <w:t>не исполнил установленную п.5 ст. 174 Налогового кодекса РФ обязанность по представлению налоговой декларации по налогу на добавленную стоимость за 3 месяца 2024 года, чем совершил 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Орехова Александра Александровича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Орехов Александр Александрович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Орехова Александра Александровича подтверждены совокупностью доказательств, а именно: протоколом об административном правонарушении №861725</w:t>
      </w:r>
      <w:r>
        <w:rPr>
          <w:rFonts w:ascii="Times New Roman" w:eastAsia="Times New Roman" w:hAnsi="Times New Roman" w:cs="Times New Roman"/>
        </w:rPr>
        <w:t>05600105600002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0.03.2025 года; реестрами внутренних почтовых отправлений, выпиской из ЕГРЮЛ в отношении юридического лица,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Орехова Александра Александровича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за 1 квартал 2024г. должн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быть представлен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25.04.2024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справке Межрайонной ИФНС России № 1</w:t>
      </w:r>
      <w:r>
        <w:rPr>
          <w:rFonts w:ascii="Times New Roman" w:eastAsia="Times New Roman" w:hAnsi="Times New Roman" w:cs="Times New Roman"/>
        </w:rPr>
        <w:t>1 по ХМАО-Югре по состоянию на 20</w:t>
      </w:r>
      <w:r>
        <w:rPr>
          <w:rFonts w:ascii="Times New Roman" w:eastAsia="Times New Roman" w:hAnsi="Times New Roman" w:cs="Times New Roman"/>
        </w:rPr>
        <w:t>.03.2025 налогов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за 1 квартал 2024г.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</w:t>
      </w:r>
      <w:r>
        <w:rPr>
          <w:rFonts w:ascii="Times New Roman" w:eastAsia="Times New Roman" w:hAnsi="Times New Roman" w:cs="Times New Roman"/>
        </w:rPr>
        <w:t>ена.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дачного некоммерческого товарищества «НАДЕЖДА» предоставить налоговую декларацию за 3 месяца 2024 года, Орехов Александр Александрович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Орехов Александр Александрович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Орехова Александра Александровича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Орехову Александру Александровичу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Орехова Александра Александровича.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председателя дачного некоммерческого товарищества «НАДЕЖДА» Орехова Александра Александровича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0412365400135006662515183.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PassportDatagrp-30rplc-15">
    <w:name w:val="cat-PassportData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